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D71DF6">
        <w:rPr>
          <w:sz w:val="24"/>
          <w:szCs w:val="24"/>
        </w:rPr>
        <w:t>Settle</w:t>
      </w:r>
    </w:p>
    <w:p w:rsidR="00C1109B" w:rsidRDefault="00CD432F" w:rsidP="00CD432F">
      <w:pPr>
        <w:rPr>
          <w:sz w:val="24"/>
          <w:szCs w:val="24"/>
        </w:rPr>
      </w:pPr>
      <w:r>
        <w:rPr>
          <w:b/>
          <w:sz w:val="24"/>
          <w:szCs w:val="24"/>
        </w:rPr>
        <w:t xml:space="preserve">Site Number and Address: </w:t>
      </w:r>
      <w:r w:rsidR="00D71DF6" w:rsidRPr="00D71DF6">
        <w:rPr>
          <w:sz w:val="24"/>
          <w:szCs w:val="24"/>
        </w:rPr>
        <w:t>SG025</w:t>
      </w:r>
      <w:r w:rsidR="00D71DF6">
        <w:rPr>
          <w:sz w:val="24"/>
          <w:szCs w:val="24"/>
        </w:rPr>
        <w:t>;</w:t>
      </w:r>
      <w:r w:rsidR="00D71DF6" w:rsidRPr="00D71DF6">
        <w:rPr>
          <w:sz w:val="24"/>
          <w:szCs w:val="24"/>
        </w:rPr>
        <w:t xml:space="preserve"> Land to the south of Ingfield Lane, Settle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D71DF6">
      <w:pPr>
        <w:rPr>
          <w:b/>
          <w:i/>
        </w:rPr>
      </w:pPr>
      <w:r w:rsidRPr="00D71DF6">
        <w:rPr>
          <w:noProof/>
          <w:lang w:eastAsia="en-GB"/>
        </w:rPr>
        <w:drawing>
          <wp:inline distT="0" distB="0" distL="0" distR="0" wp14:anchorId="4A9CA844" wp14:editId="76F00CC5">
            <wp:extent cx="8863330" cy="104461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044618"/>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D71DF6">
        <w:t>Settle</w:t>
      </w:r>
      <w:r>
        <w:t>, subject to Stage 2 analysis below, and also a possible comparison of the site’s merits with oth</w:t>
      </w:r>
      <w:r w:rsidR="00B21C52">
        <w:t xml:space="preserve">er sustainable sites in </w:t>
      </w:r>
      <w:r w:rsidR="00D71DF6">
        <w:t>Settle</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D71DF6"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D71DF6"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71DF6" w:rsidP="00B21C52">
            <w:pPr>
              <w:jc w:val="center"/>
              <w:rPr>
                <w:b/>
              </w:rPr>
            </w:pPr>
            <w:r>
              <w:rPr>
                <w:b/>
              </w:rPr>
              <w:t>South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D71DF6"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CD432F" w:rsidP="00B21C52">
            <w:pPr>
              <w:jc w:val="center"/>
              <w:rPr>
                <w:b/>
              </w:rPr>
            </w:pP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A56509"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D71DF6" w:rsidRDefault="00C1109B" w:rsidP="00D71DF6">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D71DF6">
        <w:t>Settle</w:t>
      </w:r>
      <w:r w:rsidR="00486081">
        <w:t>, the site is</w:t>
      </w:r>
      <w:r w:rsidR="00F62E2A">
        <w:t xml:space="preserve"> </w:t>
      </w:r>
      <w:r w:rsidR="00CA6744">
        <w:t xml:space="preserve">considered </w:t>
      </w:r>
      <w:r w:rsidR="00F62E2A">
        <w:t xml:space="preserve">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rsidP="00D71DF6">
      <w:pPr>
        <w:jc w:val="both"/>
        <w:rPr>
          <w:b/>
          <w:sz w:val="24"/>
          <w:szCs w:val="24"/>
          <w:u w:val="single"/>
        </w:rPr>
      </w:pPr>
      <w:r w:rsidRPr="00776515">
        <w:rPr>
          <w:b/>
          <w:sz w:val="24"/>
          <w:szCs w:val="24"/>
          <w:u w:val="single"/>
        </w:rPr>
        <w:lastRenderedPageBreak/>
        <w:t xml:space="preserve">Narrative of Site Analysis </w:t>
      </w:r>
    </w:p>
    <w:p w:rsidR="00D71DF6" w:rsidRDefault="00B21C52" w:rsidP="00834C80">
      <w:pPr>
        <w:jc w:val="both"/>
      </w:pPr>
      <w:r>
        <w:t xml:space="preserve">Site </w:t>
      </w:r>
      <w:r w:rsidR="00D71DF6">
        <w:t>SG025</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situated </w:t>
      </w:r>
      <w:r w:rsidR="00D71DF6">
        <w:t>directly to the south of the town’s</w:t>
      </w:r>
      <w:r>
        <w:t xml:space="preserve"> built up</w:t>
      </w:r>
      <w:r w:rsidR="00D71DF6">
        <w:t xml:space="preserve"> area, which allows easy</w:t>
      </w:r>
      <w:r w:rsidR="00834C80">
        <w:t xml:space="preserve"> </w:t>
      </w:r>
      <w:r w:rsidR="00E22A10">
        <w:t>access</w:t>
      </w:r>
      <w:r w:rsidR="00834C80">
        <w:t xml:space="preserve"> to the town’s services</w:t>
      </w:r>
      <w:r w:rsidR="00E22A10">
        <w:t>,</w:t>
      </w:r>
      <w:r w:rsidR="00834C80">
        <w:t xml:space="preserve"> and hence improving connectivity and reducing the need for travel. The site has an existing, safe access with good sightlines available. </w:t>
      </w:r>
      <w:r w:rsidR="00E846ED">
        <w:t>The site also performs satisfactorily regarding the District level analysis.</w:t>
      </w:r>
    </w:p>
    <w:p w:rsidR="00F2287F" w:rsidRPr="00A8439E" w:rsidRDefault="0087566D" w:rsidP="00A8439E">
      <w:pPr>
        <w:tabs>
          <w:tab w:val="left" w:pos="5529"/>
        </w:tabs>
        <w:spacing w:after="0"/>
        <w:rPr>
          <w:rFonts w:cstheme="minorHAnsi"/>
        </w:rPr>
      </w:pPr>
      <w:bookmarkStart w:id="0" w:name="_GoBack"/>
      <w:bookmarkEnd w:id="0"/>
      <w:r>
        <w:t>As significant surface water flooding has been identified on site a Flood Risk Assessment would be required to determine the most appropriate areas of development and miti</w:t>
      </w:r>
      <w:r w:rsidR="00C066C1">
        <w:t xml:space="preserve">gate local flood risk. A large portion of the SHLAA site </w:t>
      </w:r>
      <w:r w:rsidR="003D74F8">
        <w:t>to</w:t>
      </w:r>
      <w:r w:rsidR="00C066C1">
        <w:t xml:space="preserve"> the south-east has </w:t>
      </w:r>
      <w:r w:rsidR="003D74F8">
        <w:t xml:space="preserve">already </w:t>
      </w:r>
      <w:r w:rsidR="00C066C1">
        <w:t xml:space="preserve">been granted planning permission for </w:t>
      </w:r>
      <w:r w:rsidR="001545A7" w:rsidRPr="00A8439E">
        <w:rPr>
          <w:rFonts w:cstheme="minorHAnsi"/>
        </w:rPr>
        <w:t>the development of a surface water management scheme (flood meadows)</w:t>
      </w:r>
      <w:r w:rsidR="00C066C1" w:rsidRPr="00A8439E">
        <w:rPr>
          <w:rFonts w:cstheme="minorHAnsi"/>
        </w:rPr>
        <w:t xml:space="preserve"> to help mitigate surface water flood risk issues on site.</w:t>
      </w:r>
      <w:r w:rsidR="003B0982" w:rsidRPr="00A8439E">
        <w:rPr>
          <w:rFonts w:cstheme="minorHAnsi"/>
        </w:rPr>
        <w:t xml:space="preserve">  This area should be retained as </w:t>
      </w:r>
      <w:r w:rsidR="00420022" w:rsidRPr="00A8439E">
        <w:rPr>
          <w:rFonts w:cstheme="minorHAnsi"/>
        </w:rPr>
        <w:t xml:space="preserve">a </w:t>
      </w:r>
      <w:r w:rsidR="003B0982" w:rsidRPr="00A8439E">
        <w:rPr>
          <w:rFonts w:cstheme="minorHAnsi"/>
        </w:rPr>
        <w:t>green infrastructure</w:t>
      </w:r>
      <w:r w:rsidR="00420022" w:rsidRPr="00A8439E">
        <w:rPr>
          <w:rFonts w:cstheme="minorHAnsi"/>
        </w:rPr>
        <w:t xml:space="preserve"> water meadow commitment </w:t>
      </w:r>
      <w:r w:rsidR="003B0982" w:rsidRPr="00A8439E">
        <w:rPr>
          <w:rFonts w:cstheme="minorHAnsi"/>
        </w:rPr>
        <w:t xml:space="preserve">to the south of the site to soften the impact on the nearby National Park.  </w:t>
      </w:r>
      <w:r w:rsidRPr="00A8439E">
        <w:rPr>
          <w:rFonts w:cstheme="minorHAnsi"/>
        </w:rPr>
        <w:t>Landscape impact</w:t>
      </w:r>
      <w:r>
        <w:t xml:space="preserve"> mitigations should </w:t>
      </w:r>
      <w:r w:rsidR="003B0982">
        <w:t xml:space="preserve">also </w:t>
      </w:r>
      <w:r>
        <w:t>be introduced into site design</w:t>
      </w:r>
      <w:r w:rsidR="00420022">
        <w:t xml:space="preserve"> for the remain</w:t>
      </w:r>
      <w:r w:rsidR="003D74F8">
        <w:t>d</w:t>
      </w:r>
      <w:r w:rsidR="00420022">
        <w:t>er</w:t>
      </w:r>
      <w:r w:rsidR="003D74F8">
        <w:t xml:space="preserve"> of the SHLAA site</w:t>
      </w:r>
      <w:r w:rsidR="003B0982">
        <w:t xml:space="preserve"> to include </w:t>
      </w:r>
      <w:r w:rsidR="00420022">
        <w:t>area</w:t>
      </w:r>
      <w:r w:rsidR="003B0982">
        <w:t xml:space="preserve">s of green infrastructure along the </w:t>
      </w:r>
      <w:r w:rsidR="00191ACB">
        <w:t>south eastern boun</w:t>
      </w:r>
      <w:r>
        <w:t>dary edge to mitigate impact on the nearby National Park</w:t>
      </w:r>
      <w:r w:rsidR="00A4329F">
        <w:t>.  The</w:t>
      </w:r>
      <w:r w:rsidR="00191ACB">
        <w:t xml:space="preserve"> north-west corner </w:t>
      </w:r>
      <w:r w:rsidR="00581143">
        <w:t xml:space="preserve">and an area </w:t>
      </w:r>
      <w:r w:rsidR="006F1363">
        <w:t>of land from this point down south through the site</w:t>
      </w:r>
      <w:r w:rsidR="00191ACB">
        <w:t xml:space="preserve"> </w:t>
      </w:r>
      <w:r w:rsidR="00A4329F">
        <w:t xml:space="preserve">should be left </w:t>
      </w:r>
      <w:r w:rsidR="00191ACB">
        <w:t>free from development to allow sightlines through from the Grade II listed building to the</w:t>
      </w:r>
      <w:r w:rsidR="005B402E">
        <w:t xml:space="preserve"> north (the Falcon Manor Hotel), and a</w:t>
      </w:r>
      <w:r w:rsidR="00581143">
        <w:t xml:space="preserve">n area </w:t>
      </w:r>
      <w:r w:rsidR="003B0982">
        <w:t>of green infrastructure should be left</w:t>
      </w:r>
      <w:r w:rsidR="00F452A3">
        <w:t xml:space="preserve"> </w:t>
      </w:r>
      <w:r w:rsidR="003B0982">
        <w:t xml:space="preserve">free in the </w:t>
      </w:r>
      <w:r w:rsidR="006F1363">
        <w:t>south-west secti</w:t>
      </w:r>
      <w:r w:rsidR="00A4329F">
        <w:t xml:space="preserve">on of the site </w:t>
      </w:r>
      <w:r w:rsidR="003B0982">
        <w:t>to</w:t>
      </w:r>
      <w:r w:rsidR="006F1363">
        <w:t xml:space="preserve"> allow sightlines through from the B6480 to the north to reduce impact on the grade II listed Ingfield Lodge.  </w:t>
      </w:r>
      <w:r w:rsidR="005B402E">
        <w:t xml:space="preserve">In combination, these areas of green infrastructure will also provide recreation mitigation </w:t>
      </w:r>
      <w:r w:rsidR="005B402E" w:rsidRPr="00581143">
        <w:t>for the Ingleborough Complex Special Area of Conservation (SAC) and Craven Limestone Complex Special Area of Conservation (SAC).</w:t>
      </w:r>
      <w:r w:rsidR="005B402E">
        <w:t xml:space="preserve">  Regard should </w:t>
      </w:r>
      <w:r w:rsidR="001625A9" w:rsidRPr="001625A9">
        <w:t>be had to the nearby Settle-Carlisle Conservation Area to the west when determining building heights to ensure the site, which currently sits lower than the railway embankment, does not impede on the long term views from the railway line.</w:t>
      </w:r>
      <w:r w:rsidR="009B63BA">
        <w:t xml:space="preserve">  </w:t>
      </w:r>
      <w:r w:rsidR="00A8439E" w:rsidRPr="00A8439E">
        <w:rPr>
          <w:rFonts w:eastAsia="Calibri"/>
        </w:rPr>
        <w:t>An assessment of the site’s archaeological interest will be required with appropriate mitigation incorporated into development proposals where necessary.</w:t>
      </w:r>
      <w:r w:rsidR="00A8439E" w:rsidRPr="00A8439E">
        <w:rPr>
          <w:rFonts w:eastAsia="Calibri"/>
        </w:rPr>
        <w:t xml:space="preserve"> </w:t>
      </w:r>
      <w:r w:rsidR="00191ACB">
        <w:t>Taking the above into account the majority</w:t>
      </w:r>
      <w:r w:rsidR="00F2287F">
        <w:t xml:space="preserve"> of the site area</w:t>
      </w:r>
      <w:r w:rsidR="00191ACB">
        <w:t xml:space="preserve"> submitted to the SHLAA database </w:t>
      </w:r>
      <w:r w:rsidR="00F2287F">
        <w:t xml:space="preserve">can be utilised. </w:t>
      </w:r>
    </w:p>
    <w:p w:rsidR="00420022" w:rsidRDefault="00420022">
      <w:r>
        <w:rPr>
          <w:b/>
          <w:i/>
        </w:rPr>
        <w:t>Approximate Site</w:t>
      </w:r>
      <w:r w:rsidR="00C1109B" w:rsidRPr="007C4CD1">
        <w:rPr>
          <w:b/>
          <w:i/>
        </w:rPr>
        <w:t xml:space="preserve"> Area:</w:t>
      </w:r>
      <w:r w:rsidR="00C1109B">
        <w:rPr>
          <w:b/>
        </w:rPr>
        <w:t xml:space="preserve"> </w:t>
      </w:r>
      <w:r>
        <w:t>11.4</w:t>
      </w:r>
      <w:r w:rsidR="00834C80" w:rsidRPr="00834C80">
        <w:t xml:space="preserve"> hectares </w:t>
      </w:r>
    </w:p>
    <w:p w:rsidR="008F7CF5" w:rsidRDefault="004C50AA">
      <w:r>
        <w:rPr>
          <w:b/>
          <w:i/>
        </w:rPr>
        <w:t xml:space="preserve">Approximate </w:t>
      </w:r>
      <w:r w:rsidR="00834C80" w:rsidRPr="007C4CD1">
        <w:rPr>
          <w:b/>
          <w:i/>
        </w:rPr>
        <w:t xml:space="preserve">Number of </w:t>
      </w:r>
      <w:r w:rsidR="00F2287F" w:rsidRPr="007C4CD1">
        <w:rPr>
          <w:b/>
          <w:i/>
        </w:rPr>
        <w:t>Dwellings</w:t>
      </w:r>
      <w:r>
        <w:rPr>
          <w:b/>
          <w:i/>
        </w:rPr>
        <w:t xml:space="preserve">: </w:t>
      </w:r>
      <w:r w:rsidR="008E542F" w:rsidRPr="008E542F">
        <w:t>1</w:t>
      </w:r>
      <w:r w:rsidRPr="008E542F">
        <w:t>2</w:t>
      </w:r>
      <w:r w:rsidR="009B63BA">
        <w:t>5</w:t>
      </w:r>
      <w:r w:rsidR="00BB1149">
        <w:t xml:space="preserve"> dwellings</w:t>
      </w:r>
      <w:r w:rsidR="00420022">
        <w:t xml:space="preserve"> </w:t>
      </w:r>
    </w:p>
    <w:p w:rsidR="00F2287F" w:rsidRDefault="00F2287F">
      <w:pPr>
        <w:rPr>
          <w:rFonts w:cstheme="minorHAnsi"/>
          <w:b/>
          <w:i/>
        </w:rPr>
      </w:pPr>
      <w:r w:rsidRPr="000A01C2">
        <w:rPr>
          <w:rFonts w:cstheme="minorHAnsi"/>
          <w:b/>
          <w:i/>
        </w:rPr>
        <w:t>Development Principles</w:t>
      </w:r>
      <w:r w:rsidR="009E7EFE">
        <w:rPr>
          <w:rFonts w:cstheme="minorHAnsi"/>
          <w:b/>
          <w:i/>
        </w:rPr>
        <w:t xml:space="preserve"> for SG025</w:t>
      </w:r>
      <w:r w:rsidRPr="000A01C2">
        <w:rPr>
          <w:rFonts w:cstheme="minorHAnsi"/>
          <w:b/>
          <w:i/>
        </w:rPr>
        <w:t xml:space="preserve">: </w:t>
      </w:r>
    </w:p>
    <w:p w:rsidR="00A16E8B" w:rsidRPr="00A16E8B" w:rsidRDefault="00A16E8B" w:rsidP="00581143">
      <w:pPr>
        <w:pStyle w:val="ListParagraph"/>
        <w:numPr>
          <w:ilvl w:val="0"/>
          <w:numId w:val="10"/>
        </w:numPr>
        <w:spacing w:before="120"/>
        <w:rPr>
          <w:rFonts w:eastAsia="Calibri"/>
          <w:color w:val="000000" w:themeColor="text1"/>
        </w:rPr>
      </w:pPr>
      <w:r w:rsidRPr="00A16E8B">
        <w:t xml:space="preserve">This is a </w:t>
      </w:r>
      <w:proofErr w:type="gramStart"/>
      <w:r w:rsidRPr="00A16E8B">
        <w:t>greenfield</w:t>
      </w:r>
      <w:proofErr w:type="gramEnd"/>
      <w:r w:rsidRPr="00A16E8B">
        <w:t xml:space="preserve"> site in a prominent location on the edge of Settle. Development proposals will be carefully and sensitively designed to minimise visual impact on the character and appearance of the area. Development proposals for this site will incorporate landscape and recreation mitigation(s) including green infrastructure areas of approximately 7.5 ha through the centre of the site; the western edge of the site and connecting to the approved ‘water meadows’ surface water management scheme to the south and east of the site. </w:t>
      </w:r>
      <w:r w:rsidRPr="00A16E8B">
        <w:rPr>
          <w:rFonts w:eastAsia="Calibri"/>
        </w:rPr>
        <w:t>Mitigation along the s</w:t>
      </w:r>
      <w:r w:rsidRPr="00A16E8B">
        <w:t>outh-</w:t>
      </w:r>
      <w:r w:rsidRPr="00A16E8B">
        <w:lastRenderedPageBreak/>
        <w:t xml:space="preserve">eastern boundary will include a softening of the built form with gaps and planting of tree blocks between clusters of dwellings which will be front facing towards the YDNP. </w:t>
      </w:r>
      <w:r w:rsidRPr="00A16E8B">
        <w:rPr>
          <w:rFonts w:eastAsia="Calibri"/>
        </w:rPr>
        <w:t xml:space="preserve">Dwelling heights will be restricted to two storeys in height. Mitigation measures are to mitigate impact on the special qualities of the YDNP, the Settle-Carlisle Railway Conservation Area and the heritage assets of the Falcon Manor Hotel and </w:t>
      </w:r>
      <w:proofErr w:type="spellStart"/>
      <w:r w:rsidRPr="00A16E8B">
        <w:rPr>
          <w:rFonts w:eastAsia="Calibri"/>
        </w:rPr>
        <w:t>Ingfield</w:t>
      </w:r>
      <w:proofErr w:type="spellEnd"/>
      <w:r w:rsidRPr="00A16E8B">
        <w:rPr>
          <w:rFonts w:eastAsia="Calibri"/>
        </w:rPr>
        <w:t xml:space="preserve"> Lodge. The areas of green infrastructure will also deliver recreational walking opportunities aimed at relieving pressure on the </w:t>
      </w:r>
      <w:proofErr w:type="spellStart"/>
      <w:r w:rsidRPr="00A16E8B">
        <w:rPr>
          <w:rFonts w:eastAsia="Calibri"/>
        </w:rPr>
        <w:t>Ingleborough</w:t>
      </w:r>
      <w:proofErr w:type="spellEnd"/>
      <w:r w:rsidRPr="00A16E8B">
        <w:rPr>
          <w:rFonts w:eastAsia="Calibri"/>
        </w:rPr>
        <w:t xml:space="preserve"> Complex Special Area of Conservation (SAC)</w:t>
      </w:r>
      <w:r w:rsidRPr="00A16E8B">
        <w:t xml:space="preserve"> and Craven Limestone Complex Special Area of Conservation (SAC).</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appropriately reduced or offset.</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enhancement effects are implemented.</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A hydrological investigation and bird survey in relation to impacts on River Ribble (Long Preston Deeps SSSI) is required.</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Development proposals will minimise impacts on air quality, noise and light pollution.</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 xml:space="preserve">Siting and design of development on the site to conserve the significance of heritage assets (Grade II listed building of Falcon Manor Hotel, the undesignated heritage asset of Ingfield Lodge, and the Settle-Carlisle Railway Conservation Area) surrounding the site and their settings.  A comprehensive landscaping scheme is required to detail how views of the development from the west will be filtered. </w:t>
      </w:r>
    </w:p>
    <w:p w:rsidR="00A16E8B" w:rsidRPr="00A16E8B" w:rsidRDefault="00A16E8B" w:rsidP="00581143">
      <w:pPr>
        <w:pStyle w:val="ListParagraph"/>
        <w:numPr>
          <w:ilvl w:val="0"/>
          <w:numId w:val="10"/>
        </w:numPr>
        <w:spacing w:before="120"/>
        <w:jc w:val="both"/>
      </w:pPr>
      <w:r w:rsidRPr="00A16E8B">
        <w:rPr>
          <w:rFonts w:eastAsia="Calibri"/>
        </w:rPr>
        <w:t>A surface water flood risk hazard has been identified to the southern and western parts of the site.  Development proposals must therefore be supported by a Flood Risk Assessment and drainage strategy which has informed the design, layout and landscaping of the site. Proposals will incorporate Sustainable Urban Drainage Systems (SUDS) where possible;</w:t>
      </w:r>
    </w:p>
    <w:p w:rsidR="00A16E8B" w:rsidRPr="00A16E8B" w:rsidRDefault="00A16E8B" w:rsidP="007C065C">
      <w:pPr>
        <w:pStyle w:val="ListParagraph"/>
        <w:numPr>
          <w:ilvl w:val="0"/>
          <w:numId w:val="10"/>
        </w:numPr>
        <w:tabs>
          <w:tab w:val="left" w:pos="5529"/>
        </w:tabs>
        <w:spacing w:after="0"/>
        <w:rPr>
          <w:rFonts w:cstheme="minorHAnsi"/>
        </w:rPr>
      </w:pPr>
      <w:r w:rsidRPr="00A16E8B">
        <w:rPr>
          <w:rFonts w:eastAsia="Calibri"/>
        </w:rPr>
        <w:t>An assessment of the site’s archaeological interest will be required with appropriate mitigation incorporated into development proposals where necessary.</w:t>
      </w:r>
    </w:p>
    <w:p w:rsidR="007C065C" w:rsidRPr="007C065C" w:rsidRDefault="007C065C" w:rsidP="007C065C">
      <w:pPr>
        <w:pStyle w:val="ListParagraph"/>
        <w:numPr>
          <w:ilvl w:val="0"/>
          <w:numId w:val="10"/>
        </w:numPr>
        <w:tabs>
          <w:tab w:val="left" w:pos="5529"/>
        </w:tabs>
        <w:spacing w:after="0"/>
        <w:rPr>
          <w:rFonts w:cstheme="minorHAnsi"/>
        </w:rPr>
      </w:pPr>
      <w:r w:rsidRPr="007C065C">
        <w:rPr>
          <w:rFonts w:cstheme="minorHAnsi"/>
        </w:rPr>
        <w:t xml:space="preserve">Access to the site is to be gained from </w:t>
      </w:r>
      <w:proofErr w:type="spellStart"/>
      <w:r w:rsidRPr="007C065C">
        <w:rPr>
          <w:rFonts w:cstheme="minorHAnsi"/>
        </w:rPr>
        <w:t>Austwick</w:t>
      </w:r>
      <w:proofErr w:type="spellEnd"/>
      <w:r w:rsidRPr="007C065C">
        <w:rPr>
          <w:rFonts w:cstheme="minorHAnsi"/>
        </w:rPr>
        <w:t xml:space="preserve"> Close and Skipton Road (B6480).</w:t>
      </w:r>
    </w:p>
    <w:p w:rsidR="00C1109B" w:rsidRPr="00924931" w:rsidRDefault="007C065C" w:rsidP="007C065C">
      <w:pPr>
        <w:pStyle w:val="ListParagraph"/>
        <w:numPr>
          <w:ilvl w:val="0"/>
          <w:numId w:val="10"/>
        </w:numPr>
        <w:tabs>
          <w:tab w:val="left" w:pos="5529"/>
        </w:tabs>
        <w:spacing w:after="0"/>
        <w:rPr>
          <w:rFonts w:cstheme="minorHAnsi"/>
          <w:b/>
        </w:rPr>
      </w:pPr>
      <w:r w:rsidRPr="007C065C">
        <w:rPr>
          <w:rFonts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sectPr w:rsidR="00C1109B" w:rsidRPr="00924931"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20A" w:rsidRDefault="000D020A" w:rsidP="00FC3903">
      <w:pPr>
        <w:spacing w:after="0" w:line="240" w:lineRule="auto"/>
      </w:pPr>
      <w:r>
        <w:separator/>
      </w:r>
    </w:p>
  </w:endnote>
  <w:endnote w:type="continuationSeparator" w:id="0">
    <w:p w:rsidR="000D020A" w:rsidRDefault="000D020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A8439E">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20A" w:rsidRDefault="000D020A" w:rsidP="00FC3903">
      <w:pPr>
        <w:spacing w:after="0" w:line="240" w:lineRule="auto"/>
      </w:pPr>
      <w:r>
        <w:separator/>
      </w:r>
    </w:p>
  </w:footnote>
  <w:footnote w:type="continuationSeparator" w:id="0">
    <w:p w:rsidR="000D020A" w:rsidRDefault="000D020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6D65583"/>
    <w:multiLevelType w:val="hybridMultilevel"/>
    <w:tmpl w:val="ABAC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8F4036B"/>
    <w:multiLevelType w:val="hybridMultilevel"/>
    <w:tmpl w:val="A0A2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5"/>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73514"/>
    <w:rsid w:val="000A01C2"/>
    <w:rsid w:val="000C73F0"/>
    <w:rsid w:val="000D020A"/>
    <w:rsid w:val="00111652"/>
    <w:rsid w:val="001545A7"/>
    <w:rsid w:val="001625A9"/>
    <w:rsid w:val="00191ACB"/>
    <w:rsid w:val="002C0460"/>
    <w:rsid w:val="003A5793"/>
    <w:rsid w:val="003B0982"/>
    <w:rsid w:val="003D74F8"/>
    <w:rsid w:val="00420022"/>
    <w:rsid w:val="00486081"/>
    <w:rsid w:val="004C50AA"/>
    <w:rsid w:val="004E3589"/>
    <w:rsid w:val="0053462A"/>
    <w:rsid w:val="00581143"/>
    <w:rsid w:val="005B402E"/>
    <w:rsid w:val="00664307"/>
    <w:rsid w:val="006A0E5C"/>
    <w:rsid w:val="006F1363"/>
    <w:rsid w:val="007259E4"/>
    <w:rsid w:val="00776515"/>
    <w:rsid w:val="007C065C"/>
    <w:rsid w:val="007C4CD1"/>
    <w:rsid w:val="00834C80"/>
    <w:rsid w:val="0087566D"/>
    <w:rsid w:val="008E542F"/>
    <w:rsid w:val="008F7CF5"/>
    <w:rsid w:val="00924931"/>
    <w:rsid w:val="00947C28"/>
    <w:rsid w:val="009B63BA"/>
    <w:rsid w:val="009E7EFE"/>
    <w:rsid w:val="00A16E8B"/>
    <w:rsid w:val="00A4329F"/>
    <w:rsid w:val="00A56509"/>
    <w:rsid w:val="00A6168D"/>
    <w:rsid w:val="00A8439E"/>
    <w:rsid w:val="00B11693"/>
    <w:rsid w:val="00B1641C"/>
    <w:rsid w:val="00B21C52"/>
    <w:rsid w:val="00BB1149"/>
    <w:rsid w:val="00C066C1"/>
    <w:rsid w:val="00C1109B"/>
    <w:rsid w:val="00CA6744"/>
    <w:rsid w:val="00CD432F"/>
    <w:rsid w:val="00D71DF6"/>
    <w:rsid w:val="00DC3172"/>
    <w:rsid w:val="00E17361"/>
    <w:rsid w:val="00E22A10"/>
    <w:rsid w:val="00E559C8"/>
    <w:rsid w:val="00E67360"/>
    <w:rsid w:val="00E846ED"/>
    <w:rsid w:val="00F14287"/>
    <w:rsid w:val="00F2287F"/>
    <w:rsid w:val="00F452A3"/>
    <w:rsid w:val="00F62E2A"/>
    <w:rsid w:val="00F85A12"/>
    <w:rsid w:val="00FA2520"/>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568114">
      <w:bodyDiv w:val="1"/>
      <w:marLeft w:val="0"/>
      <w:marRight w:val="0"/>
      <w:marTop w:val="0"/>
      <w:marBottom w:val="0"/>
      <w:divBdr>
        <w:top w:val="none" w:sz="0" w:space="0" w:color="auto"/>
        <w:left w:val="none" w:sz="0" w:space="0" w:color="auto"/>
        <w:bottom w:val="none" w:sz="0" w:space="0" w:color="auto"/>
        <w:right w:val="none" w:sz="0" w:space="0" w:color="auto"/>
      </w:divBdr>
    </w:div>
    <w:div w:id="1572427004">
      <w:bodyDiv w:val="1"/>
      <w:marLeft w:val="0"/>
      <w:marRight w:val="0"/>
      <w:marTop w:val="0"/>
      <w:marBottom w:val="0"/>
      <w:divBdr>
        <w:top w:val="none" w:sz="0" w:space="0" w:color="auto"/>
        <w:left w:val="none" w:sz="0" w:space="0" w:color="auto"/>
        <w:bottom w:val="none" w:sz="0" w:space="0" w:color="auto"/>
        <w:right w:val="none" w:sz="0" w:space="0" w:color="auto"/>
      </w:divBdr>
    </w:div>
    <w:div w:id="201537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7175-4272-4A49-864F-AFAF775A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Feeney</dc:creator>
  <cp:lastModifiedBy>Ruth Parker</cp:lastModifiedBy>
  <cp:revision>35</cp:revision>
  <dcterms:created xsi:type="dcterms:W3CDTF">2017-03-06T11:10:00Z</dcterms:created>
  <dcterms:modified xsi:type="dcterms:W3CDTF">2019-01-15T11:38:00Z</dcterms:modified>
</cp:coreProperties>
</file>